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E259F" w14:textId="630F5101" w:rsidR="004819BA" w:rsidRPr="0052297D" w:rsidRDefault="0052297D" w:rsidP="0052297D">
      <w:pPr>
        <w:jc w:val="center"/>
        <w:rPr>
          <w:rFonts w:asciiTheme="minorHAnsi" w:hAnsiTheme="minorHAnsi"/>
          <w:b/>
          <w:sz w:val="28"/>
          <w:szCs w:val="28"/>
        </w:rPr>
      </w:pPr>
      <w:r w:rsidRPr="0052297D">
        <w:rPr>
          <w:rFonts w:asciiTheme="minorHAnsi" w:hAnsiTheme="minorHAnsi"/>
          <w:b/>
          <w:sz w:val="28"/>
          <w:szCs w:val="28"/>
        </w:rPr>
        <w:t>Biological Fluid Sample Transport Standard Operating Procedure</w:t>
      </w:r>
    </w:p>
    <w:p w14:paraId="1E3629D8" w14:textId="77777777" w:rsidR="00604977" w:rsidRDefault="00604977"/>
    <w:p w14:paraId="1EEFF838"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Purpose</w:t>
      </w:r>
    </w:p>
    <w:p w14:paraId="77125162" w14:textId="7BFE04E9" w:rsidR="00604977" w:rsidRPr="00D25536" w:rsidRDefault="00604977" w:rsidP="00604977">
      <w:pPr>
        <w:autoSpaceDE w:val="0"/>
        <w:autoSpaceDN w:val="0"/>
        <w:adjustRightInd w:val="0"/>
        <w:ind w:left="360"/>
        <w:rPr>
          <w:rFonts w:ascii="Calibri" w:eastAsia="Calibri" w:hAnsi="Calibri" w:cs="Calibri"/>
          <w:bCs/>
          <w:color w:val="000000"/>
          <w:szCs w:val="22"/>
        </w:rPr>
      </w:pPr>
      <w:r w:rsidRPr="00D25536">
        <w:rPr>
          <w:rFonts w:ascii="Calibri" w:eastAsia="Calibri" w:hAnsi="Calibri" w:cs="Calibri"/>
          <w:bCs/>
          <w:color w:val="000000"/>
          <w:szCs w:val="22"/>
        </w:rPr>
        <w:t xml:space="preserve">These guidelines were developed to train </w:t>
      </w:r>
      <w:r w:rsidR="002D659D">
        <w:rPr>
          <w:rFonts w:ascii="Calibri" w:eastAsia="Calibri" w:hAnsi="Calibri" w:cs="Calibri"/>
          <w:bCs/>
          <w:color w:val="000000"/>
          <w:szCs w:val="22"/>
        </w:rPr>
        <w:t xml:space="preserve">UCSF medical center clinical </w:t>
      </w:r>
      <w:r w:rsidRPr="00D25536">
        <w:rPr>
          <w:rFonts w:ascii="Calibri" w:eastAsia="Calibri" w:hAnsi="Calibri" w:cs="Calibri"/>
          <w:bCs/>
          <w:color w:val="000000"/>
          <w:szCs w:val="22"/>
        </w:rPr>
        <w:t xml:space="preserve">laboratory and </w:t>
      </w:r>
      <w:r w:rsidR="009B4DC6">
        <w:rPr>
          <w:rFonts w:ascii="Calibri" w:eastAsia="Calibri" w:hAnsi="Calibri" w:cs="Calibri"/>
          <w:bCs/>
          <w:color w:val="000000"/>
          <w:szCs w:val="22"/>
        </w:rPr>
        <w:t xml:space="preserve">UCSF </w:t>
      </w:r>
      <w:r w:rsidRPr="00D25536">
        <w:rPr>
          <w:rFonts w:ascii="Calibri" w:eastAsia="Calibri" w:hAnsi="Calibri" w:cs="Calibri"/>
          <w:bCs/>
          <w:color w:val="000000"/>
          <w:szCs w:val="22"/>
        </w:rPr>
        <w:t>research staff on the appropriate techniques to package and transport clinical samples between USCF campuses</w:t>
      </w:r>
      <w:r w:rsidR="003D04D3">
        <w:rPr>
          <w:rFonts w:ascii="Calibri" w:eastAsia="Calibri" w:hAnsi="Calibri" w:cs="Calibri"/>
          <w:bCs/>
          <w:color w:val="000000"/>
          <w:szCs w:val="22"/>
        </w:rPr>
        <w:t>, utilizing the UCSF medical center clinical laboratories courier</w:t>
      </w:r>
      <w:r w:rsidRPr="00D25536">
        <w:rPr>
          <w:rFonts w:ascii="Calibri" w:eastAsia="Calibri" w:hAnsi="Calibri" w:cs="Calibri"/>
          <w:bCs/>
          <w:color w:val="000000"/>
          <w:szCs w:val="22"/>
        </w:rPr>
        <w:t xml:space="preserve">.  </w:t>
      </w:r>
    </w:p>
    <w:p w14:paraId="14C92307"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035171ED"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Scope</w:t>
      </w:r>
    </w:p>
    <w:p w14:paraId="668C5548" w14:textId="77777777" w:rsidR="00604977"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intent of this SOP is:</w:t>
      </w:r>
    </w:p>
    <w:p w14:paraId="30B0903D" w14:textId="77777777" w:rsidR="00604977" w:rsidRDefault="00604977" w:rsidP="00604977">
      <w:pPr>
        <w:numPr>
          <w:ilvl w:val="2"/>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To ensure safe </w:t>
      </w:r>
      <w:r w:rsidRPr="00B60F82">
        <w:rPr>
          <w:rFonts w:ascii="Calibri" w:eastAsia="Calibri" w:hAnsi="Calibri" w:cs="Calibri"/>
          <w:bCs/>
          <w:color w:val="000000"/>
          <w:szCs w:val="22"/>
        </w:rPr>
        <w:t>transport of clinical specimens and delivery to the intended</w:t>
      </w:r>
      <w:r>
        <w:rPr>
          <w:rFonts w:ascii="Calibri" w:eastAsia="Calibri" w:hAnsi="Calibri" w:cs="Calibri"/>
          <w:bCs/>
          <w:color w:val="000000"/>
          <w:szCs w:val="22"/>
        </w:rPr>
        <w:t xml:space="preserve"> recipient.</w:t>
      </w:r>
    </w:p>
    <w:p w14:paraId="009A3FEB" w14:textId="77777777" w:rsidR="00604977" w:rsidRPr="00B60F82" w:rsidRDefault="00604977" w:rsidP="00604977">
      <w:pPr>
        <w:numPr>
          <w:ilvl w:val="2"/>
          <w:numId w:val="1"/>
        </w:numPr>
        <w:autoSpaceDE w:val="0"/>
        <w:autoSpaceDN w:val="0"/>
        <w:adjustRightInd w:val="0"/>
        <w:rPr>
          <w:rFonts w:ascii="Calibri" w:eastAsia="Calibri" w:hAnsi="Calibri" w:cs="Calibri"/>
          <w:bCs/>
          <w:color w:val="000000"/>
          <w:szCs w:val="22"/>
        </w:rPr>
      </w:pPr>
      <w:r w:rsidRPr="00B60F82">
        <w:rPr>
          <w:rFonts w:ascii="Calibri" w:eastAsia="Calibri" w:hAnsi="Calibri" w:cs="Calibri"/>
          <w:bCs/>
          <w:color w:val="000000"/>
          <w:szCs w:val="22"/>
        </w:rPr>
        <w:t>Prevent accidental exposure of personnel to the biological material.</w:t>
      </w:r>
    </w:p>
    <w:p w14:paraId="3892BFFC" w14:textId="77777777" w:rsidR="00604977"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Packaging and transport of biological materials are subject to strict UC, state, and federal regulations</w:t>
      </w:r>
      <w:r w:rsidRPr="00590371">
        <w:rPr>
          <w:rFonts w:ascii="Calibri" w:eastAsia="Calibri" w:hAnsi="Calibri" w:cs="Calibri"/>
          <w:bCs/>
          <w:color w:val="000000"/>
          <w:szCs w:val="22"/>
        </w:rPr>
        <w:t>.</w:t>
      </w:r>
    </w:p>
    <w:p w14:paraId="70DC076D" w14:textId="77777777" w:rsidR="00604977" w:rsidRPr="00590371"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This SOP covers transport of Category B infectious substances.  Category </w:t>
      </w:r>
      <w:proofErr w:type="gramStart"/>
      <w:r>
        <w:rPr>
          <w:rFonts w:ascii="Calibri" w:eastAsia="Calibri" w:hAnsi="Calibri" w:cs="Calibri"/>
          <w:bCs/>
          <w:color w:val="000000"/>
          <w:szCs w:val="22"/>
        </w:rPr>
        <w:t>A</w:t>
      </w:r>
      <w:proofErr w:type="gramEnd"/>
      <w:r>
        <w:rPr>
          <w:rFonts w:ascii="Calibri" w:eastAsia="Calibri" w:hAnsi="Calibri" w:cs="Calibri"/>
          <w:bCs/>
          <w:color w:val="000000"/>
          <w:szCs w:val="22"/>
        </w:rPr>
        <w:t xml:space="preserve"> infectious substances should not be transported using this method.</w:t>
      </w:r>
    </w:p>
    <w:p w14:paraId="4415E6F2"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17499F9E"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Responsibilities</w:t>
      </w:r>
    </w:p>
    <w:p w14:paraId="7E7D31BC" w14:textId="77777777" w:rsidR="00604977" w:rsidRPr="00590371"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researcher that packages clinical specimens is responsible for ensuring that biological material is properly packaged and labeled</w:t>
      </w:r>
      <w:r w:rsidRPr="00590371">
        <w:rPr>
          <w:rFonts w:ascii="Calibri" w:eastAsia="Calibri" w:hAnsi="Calibri" w:cs="Calibri"/>
          <w:bCs/>
          <w:color w:val="000000"/>
          <w:szCs w:val="22"/>
        </w:rPr>
        <w:t>.</w:t>
      </w:r>
    </w:p>
    <w:p w14:paraId="23E9E220" w14:textId="4B6028D6" w:rsidR="00604977" w:rsidRPr="00B15EA9"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Clinical Lab staff is responsible for sealing the outer packaging and coordinating the courier pickup</w:t>
      </w:r>
      <w:r w:rsidRPr="00590371">
        <w:rPr>
          <w:rFonts w:ascii="Calibri" w:eastAsia="Calibri" w:hAnsi="Calibri" w:cs="Calibri"/>
          <w:bCs/>
          <w:color w:val="000000"/>
          <w:szCs w:val="22"/>
        </w:rPr>
        <w:t>.</w:t>
      </w:r>
    </w:p>
    <w:p w14:paraId="5E949D98"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066EC45D"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Definitions:</w:t>
      </w:r>
    </w:p>
    <w:p w14:paraId="626FC5BA" w14:textId="77777777" w:rsidR="00604977" w:rsidRPr="00D25536" w:rsidRDefault="00604977" w:rsidP="00604977">
      <w:pPr>
        <w:numPr>
          <w:ilvl w:val="0"/>
          <w:numId w:val="2"/>
        </w:numPr>
        <w:autoSpaceDE w:val="0"/>
        <w:autoSpaceDN w:val="0"/>
        <w:adjustRightInd w:val="0"/>
        <w:rPr>
          <w:rFonts w:ascii="Calibri" w:hAnsi="Calibri"/>
          <w:szCs w:val="22"/>
        </w:rPr>
      </w:pPr>
      <w:r w:rsidRPr="00D25536">
        <w:rPr>
          <w:rFonts w:ascii="Calibri" w:eastAsia="Calibri" w:hAnsi="Calibri" w:cs="Arial"/>
          <w:bCs/>
          <w:color w:val="000000"/>
          <w:szCs w:val="22"/>
        </w:rPr>
        <w:t xml:space="preserve">Category A infectious substance - </w:t>
      </w:r>
      <w:r w:rsidRPr="00D25536">
        <w:rPr>
          <w:rFonts w:ascii="Calibri" w:hAnsi="Calibri"/>
          <w:szCs w:val="22"/>
        </w:rPr>
        <w:t xml:space="preserve">any infectious substance which is transported in a form that, when exposure to it occurs, is capable of causing permanent disability, life-threatening or fatal disease in otherwise healthy humans or animals. </w:t>
      </w:r>
    </w:p>
    <w:p w14:paraId="75015545" w14:textId="77777777" w:rsidR="00604977" w:rsidRPr="00D25536" w:rsidRDefault="00604977" w:rsidP="00604977">
      <w:pPr>
        <w:autoSpaceDE w:val="0"/>
        <w:autoSpaceDN w:val="0"/>
        <w:adjustRightInd w:val="0"/>
        <w:ind w:left="360"/>
        <w:rPr>
          <w:rFonts w:ascii="Calibri" w:hAnsi="Calibri"/>
          <w:szCs w:val="22"/>
        </w:rPr>
      </w:pPr>
    </w:p>
    <w:p w14:paraId="2F00788A" w14:textId="7985AB77" w:rsidR="00604977" w:rsidRPr="009A707B" w:rsidRDefault="00604977" w:rsidP="009A707B">
      <w:pPr>
        <w:numPr>
          <w:ilvl w:val="0"/>
          <w:numId w:val="2"/>
        </w:numPr>
        <w:autoSpaceDE w:val="0"/>
        <w:autoSpaceDN w:val="0"/>
        <w:adjustRightInd w:val="0"/>
        <w:rPr>
          <w:rFonts w:ascii="Calibri" w:hAnsi="Calibri"/>
          <w:szCs w:val="22"/>
        </w:rPr>
      </w:pPr>
      <w:r w:rsidRPr="00D25536">
        <w:rPr>
          <w:rFonts w:ascii="Calibri" w:eastAsia="Calibri" w:hAnsi="Calibri" w:cs="Arial"/>
          <w:bCs/>
          <w:color w:val="000000"/>
          <w:szCs w:val="22"/>
        </w:rPr>
        <w:t xml:space="preserve">Category B infectious substance - </w:t>
      </w:r>
      <w:r w:rsidRPr="00D25536">
        <w:rPr>
          <w:rFonts w:ascii="Calibri" w:hAnsi="Calibri"/>
          <w:szCs w:val="22"/>
        </w:rPr>
        <w:t>any infectious substance that does NOT meet criteria for inclusion in Category A.  Category B infectious substances include diagnostic or clinical specimens.</w:t>
      </w:r>
    </w:p>
    <w:p w14:paraId="401D04EC" w14:textId="77777777" w:rsidR="00604977" w:rsidRPr="00D25536" w:rsidRDefault="00604977" w:rsidP="00604977">
      <w:pPr>
        <w:autoSpaceDE w:val="0"/>
        <w:autoSpaceDN w:val="0"/>
        <w:adjustRightInd w:val="0"/>
        <w:ind w:left="360"/>
        <w:rPr>
          <w:rFonts w:ascii="Calibri" w:eastAsia="Calibri" w:hAnsi="Calibri" w:cs="Arial"/>
          <w:bCs/>
          <w:color w:val="000000"/>
          <w:szCs w:val="22"/>
        </w:rPr>
      </w:pPr>
    </w:p>
    <w:p w14:paraId="3452B3D1"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Safety</w:t>
      </w:r>
    </w:p>
    <w:p w14:paraId="63C929D9" w14:textId="77777777" w:rsidR="00604977" w:rsidRPr="00D25536" w:rsidRDefault="00604977" w:rsidP="00604977">
      <w:pPr>
        <w:numPr>
          <w:ilvl w:val="1"/>
          <w:numId w:val="1"/>
        </w:numPr>
        <w:autoSpaceDE w:val="0"/>
        <w:autoSpaceDN w:val="0"/>
        <w:adjustRightInd w:val="0"/>
        <w:rPr>
          <w:rFonts w:ascii="Calibri" w:eastAsia="Calibri" w:hAnsi="Calibri" w:cs="Arial"/>
          <w:bCs/>
          <w:color w:val="000000"/>
          <w:szCs w:val="22"/>
        </w:rPr>
      </w:pPr>
      <w:r w:rsidRPr="00D25536">
        <w:rPr>
          <w:rFonts w:ascii="Calibri" w:eastAsia="Calibri" w:hAnsi="Calibri" w:cs="Arial"/>
          <w:bCs/>
          <w:color w:val="000000"/>
          <w:szCs w:val="22"/>
        </w:rPr>
        <w:t>Always follow universal precautions when handing clinical specimens.</w:t>
      </w:r>
    </w:p>
    <w:p w14:paraId="37574A44" w14:textId="77777777" w:rsidR="00604977" w:rsidRPr="00F02066"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Anyone </w:t>
      </w:r>
      <w:r w:rsidRPr="00F02066">
        <w:rPr>
          <w:rFonts w:ascii="Calibri" w:eastAsia="Calibri" w:hAnsi="Calibri" w:cs="Arial"/>
          <w:bCs/>
          <w:color w:val="000000"/>
          <w:szCs w:val="22"/>
        </w:rPr>
        <w:t>handling, packaging, or transporting hazardous materials must complete the</w:t>
      </w:r>
      <w:r>
        <w:rPr>
          <w:rFonts w:ascii="Calibri" w:eastAsia="Calibri" w:hAnsi="Calibri" w:cs="Arial"/>
          <w:bCs/>
          <w:color w:val="000000"/>
          <w:szCs w:val="22"/>
        </w:rPr>
        <w:t xml:space="preserve"> appropriate safety training</w:t>
      </w:r>
      <w:r w:rsidRPr="00590371">
        <w:rPr>
          <w:rFonts w:ascii="Calibri" w:eastAsia="Calibri" w:hAnsi="Calibri" w:cs="Calibri"/>
          <w:bCs/>
          <w:color w:val="000000"/>
          <w:szCs w:val="22"/>
        </w:rPr>
        <w:t>.</w:t>
      </w:r>
      <w:r>
        <w:rPr>
          <w:rFonts w:ascii="Calibri" w:eastAsia="Calibri" w:hAnsi="Calibri" w:cs="Calibri"/>
          <w:bCs/>
          <w:color w:val="000000"/>
          <w:szCs w:val="22"/>
        </w:rPr>
        <w:t xml:space="preserve">  Blood-borne pathogen training must be completed on an annual basis.  Safe Shipping training must be renewed every two years.</w:t>
      </w:r>
    </w:p>
    <w:p w14:paraId="2AC8E3C7" w14:textId="77777777" w:rsidR="00604977" w:rsidRPr="00D25536" w:rsidRDefault="00604977" w:rsidP="00604977">
      <w:pPr>
        <w:autoSpaceDE w:val="0"/>
        <w:autoSpaceDN w:val="0"/>
        <w:adjustRightInd w:val="0"/>
        <w:ind w:left="360"/>
        <w:rPr>
          <w:rFonts w:ascii="Calibri" w:eastAsia="Calibri" w:hAnsi="Calibri" w:cs="Arial"/>
          <w:b/>
          <w:bCs/>
          <w:color w:val="000000"/>
          <w:szCs w:val="22"/>
        </w:rPr>
      </w:pPr>
    </w:p>
    <w:p w14:paraId="77D7114C"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Calibri"/>
          <w:b/>
          <w:bCs/>
          <w:color w:val="000000"/>
          <w:szCs w:val="22"/>
        </w:rPr>
        <w:t>Materials, Equipment, and Forms</w:t>
      </w:r>
    </w:p>
    <w:p w14:paraId="10BF7FCE"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Primary container - leak-proof collection container, such as a blood collection tube.</w:t>
      </w:r>
    </w:p>
    <w:p w14:paraId="1D96CA98" w14:textId="60EC8573"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 xml:space="preserve">Secondary container - leak-proof secondary packaging that the primary container is placed within, such as a </w:t>
      </w:r>
      <w:r w:rsidR="0052297D">
        <w:rPr>
          <w:rFonts w:ascii="Calibri" w:eastAsia="Calibri" w:hAnsi="Calibri" w:cs="Calibri"/>
          <w:bCs/>
          <w:color w:val="000000"/>
          <w:szCs w:val="22"/>
        </w:rPr>
        <w:t xml:space="preserve">Ziploc bag or </w:t>
      </w:r>
      <w:r w:rsidRPr="00D25536">
        <w:rPr>
          <w:rFonts w:ascii="Calibri" w:eastAsia="Calibri" w:hAnsi="Calibri" w:cs="Calibri"/>
          <w:bCs/>
          <w:color w:val="000000"/>
          <w:szCs w:val="22"/>
        </w:rPr>
        <w:t>screw-cap plastic container.</w:t>
      </w:r>
    </w:p>
    <w:p w14:paraId="3CE6EB02"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Absorbent material - absorbent material such as cotton balls or desiccant pack must be able to absorb the entire contents of the primary container(s) so that any leak will not compromise the integrity of the outer packaging.</w:t>
      </w:r>
    </w:p>
    <w:p w14:paraId="01D271A4"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Outer packaging - hard-sided outer container used for transport, such as an Igloo Transport Cooler.</w:t>
      </w:r>
    </w:p>
    <w:p w14:paraId="015E3FC1"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lastRenderedPageBreak/>
        <w:t>UN3373 Biological Substance Category B Label – label required on the outer packaging of all Category B shipments.</w:t>
      </w:r>
    </w:p>
    <w:p w14:paraId="17C071CF"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4CDAE07E"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Calibri"/>
          <w:bCs/>
          <w:color w:val="000000"/>
          <w:szCs w:val="22"/>
        </w:rPr>
        <w:t xml:space="preserve"> </w:t>
      </w:r>
      <w:r w:rsidRPr="00D25536">
        <w:rPr>
          <w:rFonts w:ascii="Calibri" w:eastAsia="Calibri" w:hAnsi="Calibri" w:cs="Arial"/>
          <w:b/>
          <w:bCs/>
          <w:color w:val="000000"/>
          <w:szCs w:val="22"/>
        </w:rPr>
        <w:t>Methods</w:t>
      </w:r>
    </w:p>
    <w:p w14:paraId="5BD37BD4" w14:textId="72F84172" w:rsidR="00817A88" w:rsidRDefault="00817A88"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Submit a specimen transport request form for your protocol in order to initiate service.</w:t>
      </w:r>
    </w:p>
    <w:p w14:paraId="03E327BC"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Visually inspect the primary collection container to make sure it is properly sealed.</w:t>
      </w:r>
    </w:p>
    <w:p w14:paraId="3C781ACF" w14:textId="19A589E2"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P</w:t>
      </w:r>
      <w:r w:rsidR="00DC7B1C">
        <w:rPr>
          <w:rFonts w:ascii="Calibri" w:eastAsia="Calibri" w:hAnsi="Calibri" w:cs="Arial"/>
          <w:bCs/>
          <w:color w:val="000000"/>
          <w:szCs w:val="22"/>
        </w:rPr>
        <w:t xml:space="preserve">ack the specimen container inside a secondary container. </w:t>
      </w:r>
    </w:p>
    <w:p w14:paraId="66A943EC" w14:textId="14DC53A9"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 xml:space="preserve">The secondary container must be smaller than </w:t>
      </w:r>
      <w:r w:rsidR="00FD6158" w:rsidRPr="0052297D">
        <w:rPr>
          <w:rFonts w:ascii="Calibri" w:eastAsia="Calibri" w:hAnsi="Calibri" w:cs="Arial"/>
          <w:b/>
          <w:bCs/>
          <w:color w:val="000000"/>
          <w:szCs w:val="22"/>
          <w:u w:val="single"/>
        </w:rPr>
        <w:t xml:space="preserve">6 inches wide x 11 inches tall by </w:t>
      </w:r>
      <w:r w:rsidR="003D04D3" w:rsidRPr="0052297D">
        <w:rPr>
          <w:rFonts w:ascii="Calibri" w:eastAsia="Calibri" w:hAnsi="Calibri" w:cs="Arial"/>
          <w:b/>
          <w:bCs/>
          <w:color w:val="000000"/>
          <w:szCs w:val="22"/>
          <w:u w:val="single"/>
        </w:rPr>
        <w:t>4 inches thick</w:t>
      </w:r>
      <w:r w:rsidR="003D04D3">
        <w:rPr>
          <w:rFonts w:ascii="Calibri" w:eastAsia="Calibri" w:hAnsi="Calibri" w:cs="Arial"/>
          <w:bCs/>
          <w:color w:val="000000"/>
          <w:szCs w:val="22"/>
        </w:rPr>
        <w:t xml:space="preserve">. If </w:t>
      </w:r>
      <w:r w:rsidR="0052297D">
        <w:rPr>
          <w:rFonts w:ascii="Calibri" w:eastAsia="Calibri" w:hAnsi="Calibri" w:cs="Arial"/>
          <w:bCs/>
          <w:color w:val="000000"/>
          <w:szCs w:val="22"/>
        </w:rPr>
        <w:t xml:space="preserve">the </w:t>
      </w:r>
      <w:r w:rsidR="003D04D3">
        <w:rPr>
          <w:rFonts w:ascii="Calibri" w:eastAsia="Calibri" w:hAnsi="Calibri" w:cs="Arial"/>
          <w:bCs/>
          <w:color w:val="000000"/>
          <w:szCs w:val="22"/>
        </w:rPr>
        <w:t>secondary container is larger than these dimensions, the Clinical Research team must provide an outer container with a handle for carrying, such as an Igloo cooler.</w:t>
      </w:r>
    </w:p>
    <w:p w14:paraId="069FB4F1" w14:textId="3EE46CEB"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Place absorb</w:t>
      </w:r>
      <w:r w:rsidR="00DC7B1C">
        <w:rPr>
          <w:rFonts w:ascii="Calibri" w:eastAsia="Calibri" w:hAnsi="Calibri" w:cs="Calibri"/>
          <w:bCs/>
          <w:color w:val="000000"/>
          <w:szCs w:val="22"/>
        </w:rPr>
        <w:t>ent material between the specimen container</w:t>
      </w:r>
      <w:r w:rsidRPr="00D25536">
        <w:rPr>
          <w:rFonts w:ascii="Calibri" w:eastAsia="Calibri" w:hAnsi="Calibri" w:cs="Calibri"/>
          <w:bCs/>
          <w:color w:val="000000"/>
          <w:szCs w:val="22"/>
        </w:rPr>
        <w:t xml:space="preserve"> and the secondary packaging.  The absorbent material must be able to absorb the</w:t>
      </w:r>
      <w:r w:rsidR="00DC7B1C">
        <w:rPr>
          <w:rFonts w:ascii="Calibri" w:eastAsia="Calibri" w:hAnsi="Calibri" w:cs="Calibri"/>
          <w:bCs/>
          <w:color w:val="000000"/>
          <w:szCs w:val="22"/>
        </w:rPr>
        <w:t xml:space="preserve"> entire contents of the specimen </w:t>
      </w:r>
      <w:r w:rsidRPr="00D25536">
        <w:rPr>
          <w:rFonts w:ascii="Calibri" w:eastAsia="Calibri" w:hAnsi="Calibri" w:cs="Calibri"/>
          <w:bCs/>
          <w:color w:val="000000"/>
          <w:szCs w:val="22"/>
        </w:rPr>
        <w:t>container(s) so that any leak will not compromise the integrity of the outer packaging.</w:t>
      </w:r>
    </w:p>
    <w:p w14:paraId="37ED2CDC" w14:textId="23B9774B" w:rsidR="00604977" w:rsidRDefault="00DC7B1C"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Create a requisition</w:t>
      </w:r>
      <w:r w:rsidR="00604977" w:rsidRPr="002C4055">
        <w:rPr>
          <w:rFonts w:ascii="Calibri" w:eastAsia="Calibri" w:hAnsi="Calibri" w:cs="Calibri"/>
          <w:bCs/>
          <w:color w:val="000000"/>
          <w:szCs w:val="22"/>
        </w:rPr>
        <w:t xml:space="preserve"> of all samples included in the transport container.  </w:t>
      </w:r>
    </w:p>
    <w:p w14:paraId="15B43679" w14:textId="65756F3D" w:rsidR="00B676A2" w:rsidRPr="00B676A2" w:rsidRDefault="00DC7B1C" w:rsidP="00B676A2">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requisition</w:t>
      </w:r>
      <w:r w:rsidR="00B676A2">
        <w:rPr>
          <w:rFonts w:ascii="Calibri" w:eastAsia="Calibri" w:hAnsi="Calibri" w:cs="Calibri"/>
          <w:bCs/>
          <w:color w:val="000000"/>
          <w:szCs w:val="22"/>
        </w:rPr>
        <w:t xml:space="preserve"> must include the contact information for the sender and the recipient (name, phone number, and address).</w:t>
      </w:r>
    </w:p>
    <w:p w14:paraId="1F990056" w14:textId="2CDF1EF5" w:rsidR="0052297D" w:rsidRDefault="00604977" w:rsidP="00604977">
      <w:pPr>
        <w:numPr>
          <w:ilvl w:val="1"/>
          <w:numId w:val="1"/>
        </w:numPr>
        <w:autoSpaceDE w:val="0"/>
        <w:autoSpaceDN w:val="0"/>
        <w:adjustRightInd w:val="0"/>
        <w:rPr>
          <w:rFonts w:ascii="Calibri" w:eastAsia="Calibri" w:hAnsi="Calibri" w:cs="Calibri"/>
          <w:bCs/>
          <w:color w:val="000000"/>
          <w:szCs w:val="22"/>
        </w:rPr>
      </w:pPr>
      <w:r w:rsidRPr="002C4055">
        <w:rPr>
          <w:rFonts w:ascii="Calibri" w:eastAsia="Calibri" w:hAnsi="Calibri" w:cs="Calibri"/>
          <w:bCs/>
          <w:color w:val="000000"/>
          <w:szCs w:val="22"/>
        </w:rPr>
        <w:t xml:space="preserve">Verify that the </w:t>
      </w:r>
      <w:r w:rsidR="00DC7B1C">
        <w:rPr>
          <w:rFonts w:ascii="Calibri" w:eastAsia="Calibri" w:hAnsi="Calibri" w:cs="Calibri"/>
          <w:bCs/>
          <w:color w:val="000000"/>
          <w:szCs w:val="22"/>
        </w:rPr>
        <w:t>samples included on the requisition</w:t>
      </w:r>
      <w:r w:rsidRPr="002C4055">
        <w:rPr>
          <w:rFonts w:ascii="Calibri" w:eastAsia="Calibri" w:hAnsi="Calibri" w:cs="Calibri"/>
          <w:bCs/>
          <w:color w:val="000000"/>
          <w:szCs w:val="22"/>
        </w:rPr>
        <w:t xml:space="preserve"> match the contents of the </w:t>
      </w:r>
      <w:r>
        <w:rPr>
          <w:rFonts w:ascii="Calibri" w:eastAsia="Calibri" w:hAnsi="Calibri" w:cs="Calibri"/>
          <w:bCs/>
          <w:color w:val="000000"/>
          <w:szCs w:val="22"/>
        </w:rPr>
        <w:t>secondary container</w:t>
      </w:r>
      <w:r w:rsidRPr="002C4055">
        <w:rPr>
          <w:rFonts w:ascii="Calibri" w:eastAsia="Calibri" w:hAnsi="Calibri" w:cs="Calibri"/>
          <w:bCs/>
          <w:color w:val="000000"/>
          <w:szCs w:val="22"/>
        </w:rPr>
        <w:t>.</w:t>
      </w:r>
      <w:r w:rsidR="0052297D">
        <w:rPr>
          <w:rFonts w:ascii="Calibri" w:eastAsia="Calibri" w:hAnsi="Calibri" w:cs="Calibri"/>
          <w:bCs/>
          <w:color w:val="000000"/>
          <w:szCs w:val="22"/>
        </w:rPr>
        <w:t xml:space="preserve">  </w:t>
      </w:r>
    </w:p>
    <w:p w14:paraId="20DECD50" w14:textId="15BF79B3" w:rsidR="00604977" w:rsidRDefault="00DC7B1C"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Attach the requisition</w:t>
      </w:r>
      <w:r w:rsidR="0052297D">
        <w:rPr>
          <w:rFonts w:ascii="Calibri" w:eastAsia="Calibri" w:hAnsi="Calibri" w:cs="Calibri"/>
          <w:bCs/>
          <w:color w:val="000000"/>
          <w:szCs w:val="22"/>
        </w:rPr>
        <w:t xml:space="preserve"> to the secondary container (or </w:t>
      </w:r>
      <w:r w:rsidR="000C4FD1">
        <w:rPr>
          <w:rFonts w:ascii="Calibri" w:eastAsia="Calibri" w:hAnsi="Calibri" w:cs="Calibri"/>
          <w:bCs/>
          <w:color w:val="000000"/>
          <w:szCs w:val="22"/>
        </w:rPr>
        <w:t xml:space="preserve">attach </w:t>
      </w:r>
      <w:r w:rsidR="0052297D">
        <w:rPr>
          <w:rFonts w:ascii="Calibri" w:eastAsia="Calibri" w:hAnsi="Calibri" w:cs="Calibri"/>
          <w:bCs/>
          <w:color w:val="000000"/>
          <w:szCs w:val="22"/>
        </w:rPr>
        <w:t>to the outer container if the secondary container is larger than the dimensions specified in step 7.4).</w:t>
      </w:r>
    </w:p>
    <w:p w14:paraId="6ABA1F16" w14:textId="43CB0D0C" w:rsidR="008917C7" w:rsidRPr="008917C7" w:rsidRDefault="008917C7" w:rsidP="00604977">
      <w:pPr>
        <w:numPr>
          <w:ilvl w:val="1"/>
          <w:numId w:val="1"/>
        </w:numPr>
        <w:autoSpaceDE w:val="0"/>
        <w:autoSpaceDN w:val="0"/>
        <w:adjustRightInd w:val="0"/>
        <w:rPr>
          <w:rFonts w:ascii="Calibri" w:eastAsia="Calibri" w:hAnsi="Calibri" w:cs="Calibri"/>
          <w:bCs/>
          <w:color w:val="000000"/>
          <w:szCs w:val="22"/>
          <w:highlight w:val="yellow"/>
        </w:rPr>
      </w:pPr>
      <w:r w:rsidRPr="008917C7">
        <w:rPr>
          <w:rFonts w:ascii="Calibri" w:eastAsia="Calibri" w:hAnsi="Calibri" w:cs="Calibri"/>
          <w:bCs/>
          <w:color w:val="000000"/>
          <w:szCs w:val="22"/>
          <w:highlight w:val="yellow"/>
        </w:rPr>
        <w:t>Label the container with “RESEARCH”.</w:t>
      </w:r>
    </w:p>
    <w:p w14:paraId="7867DE60" w14:textId="38096A3C" w:rsidR="008917C7" w:rsidRPr="008917C7" w:rsidRDefault="008917C7" w:rsidP="00604977">
      <w:pPr>
        <w:numPr>
          <w:ilvl w:val="1"/>
          <w:numId w:val="1"/>
        </w:numPr>
        <w:autoSpaceDE w:val="0"/>
        <w:autoSpaceDN w:val="0"/>
        <w:adjustRightInd w:val="0"/>
        <w:rPr>
          <w:rFonts w:ascii="Calibri" w:eastAsia="Calibri" w:hAnsi="Calibri" w:cs="Calibri"/>
          <w:bCs/>
          <w:color w:val="000000"/>
          <w:szCs w:val="22"/>
          <w:highlight w:val="yellow"/>
        </w:rPr>
      </w:pPr>
      <w:r w:rsidRPr="008917C7">
        <w:rPr>
          <w:rFonts w:ascii="Calibri" w:eastAsia="Calibri" w:hAnsi="Calibri" w:cs="Calibri"/>
          <w:bCs/>
          <w:color w:val="000000"/>
          <w:szCs w:val="22"/>
          <w:highlight w:val="yellow"/>
        </w:rPr>
        <w:t>Label the container with the destination clinical lab (ex. “Deliver to Mission Bay Clinical lab”).</w:t>
      </w:r>
    </w:p>
    <w:p w14:paraId="5BD1536D" w14:textId="77777777" w:rsidR="00B676A2" w:rsidRDefault="00B676A2" w:rsidP="00B676A2">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Clinical Research Coordinator (or other study team member) sending samples should notify the recipient so they expect the delivery, and pick up the specimens when they arrive at the receiving Clinical Laboratory location.</w:t>
      </w:r>
    </w:p>
    <w:p w14:paraId="77872453" w14:textId="77777777" w:rsidR="00B676A2" w:rsidRPr="00D25536" w:rsidRDefault="00B676A2" w:rsidP="00B676A2">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Place the secondary container inside the outer packaging for transport</w:t>
      </w:r>
      <w:r>
        <w:rPr>
          <w:rFonts w:ascii="Calibri" w:eastAsia="Calibri" w:hAnsi="Calibri" w:cs="Arial"/>
          <w:bCs/>
          <w:color w:val="000000"/>
          <w:szCs w:val="22"/>
        </w:rPr>
        <w:t xml:space="preserve"> to a Clinical Laboratory drop-off location</w:t>
      </w:r>
      <w:r w:rsidRPr="00D25536">
        <w:rPr>
          <w:rFonts w:ascii="Calibri" w:eastAsia="Calibri" w:hAnsi="Calibri" w:cs="Arial"/>
          <w:bCs/>
          <w:color w:val="000000"/>
          <w:szCs w:val="22"/>
        </w:rPr>
        <w:t xml:space="preserve">.   </w:t>
      </w:r>
    </w:p>
    <w:p w14:paraId="0160D37F" w14:textId="47332FFC" w:rsidR="00F71018" w:rsidRDefault="008917C7" w:rsidP="00B676A2">
      <w:pPr>
        <w:numPr>
          <w:ilvl w:val="1"/>
          <w:numId w:val="1"/>
        </w:numPr>
        <w:autoSpaceDE w:val="0"/>
        <w:autoSpaceDN w:val="0"/>
        <w:adjustRightInd w:val="0"/>
        <w:rPr>
          <w:rFonts w:ascii="Calibri" w:eastAsia="Calibri" w:hAnsi="Calibri" w:cs="Calibri"/>
          <w:bCs/>
          <w:color w:val="000000"/>
          <w:szCs w:val="22"/>
        </w:rPr>
      </w:pPr>
      <w:r w:rsidRPr="008917C7">
        <w:rPr>
          <w:rFonts w:ascii="Calibri" w:eastAsia="Calibri" w:hAnsi="Calibri" w:cs="Calibri"/>
          <w:bCs/>
          <w:color w:val="000000"/>
          <w:szCs w:val="22"/>
          <w:highlight w:val="yellow"/>
        </w:rPr>
        <w:t>Deliver the package</w:t>
      </w:r>
      <w:r w:rsidR="00B676A2" w:rsidRPr="008917C7">
        <w:rPr>
          <w:rFonts w:ascii="Calibri" w:eastAsia="Calibri" w:hAnsi="Calibri" w:cs="Calibri"/>
          <w:bCs/>
          <w:color w:val="000000"/>
          <w:szCs w:val="22"/>
          <w:highlight w:val="yellow"/>
        </w:rPr>
        <w:t xml:space="preserve"> </w:t>
      </w:r>
      <w:r w:rsidRPr="008917C7">
        <w:rPr>
          <w:rFonts w:ascii="Calibri" w:eastAsia="Calibri" w:hAnsi="Calibri" w:cs="Calibri"/>
          <w:bCs/>
          <w:color w:val="000000"/>
          <w:szCs w:val="22"/>
          <w:highlight w:val="yellow"/>
        </w:rPr>
        <w:t xml:space="preserve">to </w:t>
      </w:r>
      <w:r w:rsidR="00B676A2" w:rsidRPr="008917C7">
        <w:rPr>
          <w:rFonts w:ascii="Calibri" w:eastAsia="Calibri" w:hAnsi="Calibri" w:cs="Calibri"/>
          <w:bCs/>
          <w:color w:val="000000"/>
          <w:szCs w:val="22"/>
          <w:highlight w:val="yellow"/>
        </w:rPr>
        <w:t xml:space="preserve">the </w:t>
      </w:r>
      <w:r w:rsidRPr="008917C7">
        <w:rPr>
          <w:rFonts w:ascii="Calibri" w:eastAsia="Calibri" w:hAnsi="Calibri" w:cs="Calibri"/>
          <w:bCs/>
          <w:color w:val="000000"/>
          <w:szCs w:val="22"/>
          <w:highlight w:val="yellow"/>
        </w:rPr>
        <w:t xml:space="preserve">aliquot room at a </w:t>
      </w:r>
      <w:r w:rsidR="00B676A2" w:rsidRPr="008917C7">
        <w:rPr>
          <w:rFonts w:ascii="Calibri" w:eastAsia="Calibri" w:hAnsi="Calibri" w:cs="Calibri"/>
          <w:bCs/>
          <w:color w:val="000000"/>
          <w:szCs w:val="22"/>
          <w:highlight w:val="yellow"/>
        </w:rPr>
        <w:t xml:space="preserve">UCSF Clinical Lab specimen </w:t>
      </w:r>
      <w:r w:rsidR="00F71018" w:rsidRPr="008917C7">
        <w:rPr>
          <w:rFonts w:ascii="Calibri" w:eastAsia="Calibri" w:hAnsi="Calibri" w:cs="Calibri"/>
          <w:bCs/>
          <w:color w:val="000000"/>
          <w:szCs w:val="22"/>
          <w:highlight w:val="yellow"/>
        </w:rPr>
        <w:t>drop-off</w:t>
      </w:r>
      <w:r w:rsidRPr="008917C7">
        <w:rPr>
          <w:rFonts w:ascii="Calibri" w:eastAsia="Calibri" w:hAnsi="Calibri" w:cs="Calibri"/>
          <w:bCs/>
          <w:color w:val="000000"/>
          <w:szCs w:val="22"/>
          <w:highlight w:val="yellow"/>
        </w:rPr>
        <w:t xml:space="preserve"> location</w:t>
      </w:r>
      <w:r w:rsidR="00B676A2" w:rsidRPr="008917C7">
        <w:rPr>
          <w:rFonts w:ascii="Calibri" w:eastAsia="Calibri" w:hAnsi="Calibri" w:cs="Calibri"/>
          <w:bCs/>
          <w:color w:val="000000"/>
          <w:szCs w:val="22"/>
          <w:highlight w:val="yellow"/>
        </w:rPr>
        <w:t xml:space="preserve">.  </w:t>
      </w:r>
      <w:r w:rsidRPr="008917C7">
        <w:rPr>
          <w:rFonts w:ascii="Calibri" w:eastAsia="Calibri" w:hAnsi="Calibri" w:cs="Calibri"/>
          <w:bCs/>
          <w:color w:val="000000"/>
          <w:szCs w:val="22"/>
          <w:highlight w:val="yellow"/>
        </w:rPr>
        <w:t>Hand the package to a Clinical lab staff member within the aliquot room.</w:t>
      </w:r>
    </w:p>
    <w:p w14:paraId="10B6372D" w14:textId="0285584F" w:rsidR="000C4FD1" w:rsidRPr="000C4FD1" w:rsidRDefault="008917C7" w:rsidP="00B676A2">
      <w:pPr>
        <w:numPr>
          <w:ilvl w:val="1"/>
          <w:numId w:val="1"/>
        </w:numPr>
        <w:autoSpaceDE w:val="0"/>
        <w:autoSpaceDN w:val="0"/>
        <w:adjustRightInd w:val="0"/>
        <w:rPr>
          <w:rFonts w:ascii="Calibri" w:eastAsia="Calibri" w:hAnsi="Calibri" w:cs="Calibri"/>
          <w:bCs/>
          <w:color w:val="000000"/>
          <w:szCs w:val="22"/>
        </w:rPr>
      </w:pPr>
      <w:r w:rsidRPr="008917C7">
        <w:rPr>
          <w:rFonts w:ascii="Calibri" w:eastAsia="Calibri" w:hAnsi="Calibri" w:cs="Calibri"/>
          <w:bCs/>
          <w:color w:val="000000"/>
          <w:szCs w:val="22"/>
          <w:highlight w:val="yellow"/>
        </w:rPr>
        <w:t>Clinical lab staff will place</w:t>
      </w:r>
      <w:r w:rsidR="00BB7E96" w:rsidRPr="008917C7">
        <w:rPr>
          <w:rFonts w:ascii="Calibri" w:eastAsia="Calibri" w:hAnsi="Calibri" w:cs="Calibri"/>
          <w:bCs/>
          <w:color w:val="000000"/>
          <w:szCs w:val="22"/>
          <w:highlight w:val="yellow"/>
        </w:rPr>
        <w:t xml:space="preserve"> the secondary container</w:t>
      </w:r>
      <w:r w:rsidR="00B676A2" w:rsidRPr="008917C7">
        <w:rPr>
          <w:rFonts w:ascii="Calibri" w:eastAsia="Calibri" w:hAnsi="Calibri" w:cs="Calibri"/>
          <w:bCs/>
          <w:color w:val="000000"/>
          <w:szCs w:val="22"/>
          <w:highlight w:val="yellow"/>
        </w:rPr>
        <w:t xml:space="preserve"> in</w:t>
      </w:r>
      <w:r w:rsidR="00F57215" w:rsidRPr="008917C7">
        <w:rPr>
          <w:rFonts w:ascii="Calibri" w:eastAsia="Calibri" w:hAnsi="Calibri" w:cs="Calibri"/>
          <w:bCs/>
          <w:color w:val="000000"/>
          <w:szCs w:val="22"/>
          <w:highlight w:val="yellow"/>
        </w:rPr>
        <w:t>side</w:t>
      </w:r>
      <w:r w:rsidR="00B676A2" w:rsidRPr="008917C7">
        <w:rPr>
          <w:rFonts w:ascii="Calibri" w:eastAsia="Calibri" w:hAnsi="Calibri" w:cs="Calibri"/>
          <w:bCs/>
          <w:color w:val="000000"/>
          <w:szCs w:val="22"/>
          <w:highlight w:val="yellow"/>
        </w:rPr>
        <w:t xml:space="preserve"> a designated </w:t>
      </w:r>
      <w:r w:rsidR="00DC7B1C" w:rsidRPr="008917C7">
        <w:rPr>
          <w:rFonts w:ascii="Calibri" w:eastAsia="Calibri" w:hAnsi="Calibri" w:cs="Calibri"/>
          <w:bCs/>
          <w:szCs w:val="22"/>
          <w:highlight w:val="yellow"/>
        </w:rPr>
        <w:t>green drop-off</w:t>
      </w:r>
      <w:r w:rsidR="0052297D" w:rsidRPr="008917C7">
        <w:rPr>
          <w:rFonts w:ascii="Calibri" w:eastAsia="Calibri" w:hAnsi="Calibri" w:cs="Calibri"/>
          <w:bCs/>
          <w:szCs w:val="22"/>
          <w:highlight w:val="yellow"/>
        </w:rPr>
        <w:t xml:space="preserve"> container</w:t>
      </w:r>
      <w:r w:rsidR="00BB7E96" w:rsidRPr="00DC7B1C">
        <w:rPr>
          <w:rFonts w:ascii="Calibri" w:eastAsia="Calibri" w:hAnsi="Calibri" w:cs="Calibri"/>
          <w:bCs/>
          <w:szCs w:val="22"/>
        </w:rPr>
        <w:t xml:space="preserve"> </w:t>
      </w:r>
      <w:r w:rsidR="000C4FD1" w:rsidRPr="00DC7B1C">
        <w:rPr>
          <w:rFonts w:ascii="Calibri" w:eastAsia="Calibri" w:hAnsi="Calibri" w:cs="Calibri"/>
          <w:bCs/>
          <w:szCs w:val="22"/>
        </w:rPr>
        <w:t>(</w:t>
      </w:r>
      <w:r w:rsidR="00BB7E96" w:rsidRPr="00DC7B1C">
        <w:rPr>
          <w:rFonts w:ascii="Calibri" w:eastAsia="Calibri" w:hAnsi="Calibri" w:cs="Calibri"/>
          <w:bCs/>
          <w:szCs w:val="22"/>
        </w:rPr>
        <w:t xml:space="preserve">or leave the outer container if the </w:t>
      </w:r>
      <w:r w:rsidR="00B676A2" w:rsidRPr="00DC7B1C">
        <w:rPr>
          <w:rFonts w:ascii="Calibri" w:eastAsia="Calibri" w:hAnsi="Calibri" w:cs="Calibri"/>
          <w:bCs/>
          <w:szCs w:val="22"/>
        </w:rPr>
        <w:t>secondary container is larger than di</w:t>
      </w:r>
      <w:r w:rsidR="00BB7E96" w:rsidRPr="00DC7B1C">
        <w:rPr>
          <w:rFonts w:ascii="Calibri" w:eastAsia="Calibri" w:hAnsi="Calibri" w:cs="Calibri"/>
          <w:bCs/>
          <w:szCs w:val="22"/>
        </w:rPr>
        <w:t>mensions referenced in step 7.</w:t>
      </w:r>
      <w:r w:rsidR="0052297D" w:rsidRPr="00DC7B1C">
        <w:rPr>
          <w:rFonts w:ascii="Calibri" w:eastAsia="Calibri" w:hAnsi="Calibri" w:cs="Calibri"/>
          <w:bCs/>
          <w:szCs w:val="22"/>
        </w:rPr>
        <w:t>4</w:t>
      </w:r>
      <w:r w:rsidR="000C4FD1" w:rsidRPr="00DC7B1C">
        <w:rPr>
          <w:rFonts w:ascii="Calibri" w:eastAsia="Calibri" w:hAnsi="Calibri" w:cs="Calibri"/>
          <w:bCs/>
          <w:szCs w:val="22"/>
        </w:rPr>
        <w:t>)</w:t>
      </w:r>
      <w:r w:rsidR="00BB7E96" w:rsidRPr="00DC7B1C">
        <w:rPr>
          <w:rFonts w:ascii="Calibri" w:eastAsia="Calibri" w:hAnsi="Calibri" w:cs="Arial"/>
          <w:bCs/>
          <w:szCs w:val="22"/>
        </w:rPr>
        <w:t>.</w:t>
      </w:r>
      <w:r w:rsidR="000C4FD1" w:rsidRPr="00DC7B1C">
        <w:rPr>
          <w:rFonts w:ascii="Calibri" w:eastAsia="Calibri" w:hAnsi="Calibri" w:cs="Arial"/>
          <w:bCs/>
          <w:szCs w:val="22"/>
        </w:rPr>
        <w:t xml:space="preserve">  The </w:t>
      </w:r>
      <w:r w:rsidR="00DC7B1C">
        <w:rPr>
          <w:rFonts w:ascii="Calibri" w:eastAsia="Calibri" w:hAnsi="Calibri" w:cs="Arial"/>
          <w:bCs/>
          <w:szCs w:val="22"/>
        </w:rPr>
        <w:t xml:space="preserve">green </w:t>
      </w:r>
      <w:r w:rsidR="000C4FD1" w:rsidRPr="00DC7B1C">
        <w:rPr>
          <w:rFonts w:ascii="Calibri" w:eastAsia="Calibri" w:hAnsi="Calibri" w:cs="Arial"/>
          <w:bCs/>
          <w:szCs w:val="22"/>
        </w:rPr>
        <w:t>container has three compartments to tr</w:t>
      </w:r>
      <w:r w:rsidR="000C4FD1">
        <w:rPr>
          <w:rFonts w:ascii="Calibri" w:eastAsia="Calibri" w:hAnsi="Calibri" w:cs="Arial"/>
          <w:bCs/>
          <w:color w:val="000000"/>
          <w:szCs w:val="22"/>
        </w:rPr>
        <w:t>ansfer specimens at different temperatures.</w:t>
      </w:r>
    </w:p>
    <w:p w14:paraId="01FC7459" w14:textId="6DE184BB" w:rsidR="000C4FD1" w:rsidRDefault="000C4FD1" w:rsidP="000C4FD1">
      <w:pPr>
        <w:numPr>
          <w:ilvl w:val="2"/>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Frozen compartment: contains dry ice to transport frozen specimens.</w:t>
      </w:r>
    </w:p>
    <w:p w14:paraId="0A00FA17" w14:textId="7FADDC03" w:rsidR="000C4FD1" w:rsidRDefault="000C4FD1" w:rsidP="000C4FD1">
      <w:pPr>
        <w:numPr>
          <w:ilvl w:val="2"/>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Refrigerated compartment: contains refrigerated gel packs to transfer refrigerated specimens.</w:t>
      </w:r>
    </w:p>
    <w:p w14:paraId="640FEE78" w14:textId="4F4ACE88" w:rsidR="00B676A2" w:rsidRDefault="000C4FD1" w:rsidP="000C4FD1">
      <w:pPr>
        <w:numPr>
          <w:ilvl w:val="2"/>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Room temperature compartment: specimens</w:t>
      </w:r>
      <w:r w:rsidR="00BB7E96">
        <w:rPr>
          <w:rFonts w:ascii="Calibri" w:eastAsia="Calibri" w:hAnsi="Calibri" w:cs="Arial"/>
          <w:bCs/>
          <w:color w:val="000000"/>
          <w:szCs w:val="22"/>
        </w:rPr>
        <w:t xml:space="preserve"> </w:t>
      </w:r>
      <w:r>
        <w:rPr>
          <w:rFonts w:ascii="Calibri" w:eastAsia="Calibri" w:hAnsi="Calibri" w:cs="Calibri"/>
          <w:bCs/>
          <w:color w:val="000000"/>
          <w:szCs w:val="22"/>
        </w:rPr>
        <w:t>will be transported at ambient temperature.</w:t>
      </w:r>
    </w:p>
    <w:p w14:paraId="6DE24E86" w14:textId="478F143F" w:rsidR="002D659D" w:rsidRDefault="002D659D"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See attached list for Courier pick-up times</w:t>
      </w:r>
      <w:r w:rsidR="009F0CCE">
        <w:rPr>
          <w:rFonts w:ascii="Calibri" w:eastAsia="Calibri" w:hAnsi="Calibri" w:cs="Calibri"/>
          <w:bCs/>
          <w:color w:val="000000"/>
          <w:szCs w:val="22"/>
        </w:rPr>
        <w:t xml:space="preserve"> and locations</w:t>
      </w:r>
      <w:bookmarkStart w:id="0" w:name="_GoBack"/>
      <w:bookmarkEnd w:id="0"/>
      <w:r w:rsidRPr="00D25536">
        <w:rPr>
          <w:rFonts w:ascii="Calibri" w:eastAsia="Calibri" w:hAnsi="Calibri" w:cs="Calibri"/>
          <w:bCs/>
          <w:color w:val="000000"/>
          <w:szCs w:val="22"/>
        </w:rPr>
        <w:t>.</w:t>
      </w:r>
    </w:p>
    <w:p w14:paraId="1E10A115" w14:textId="3A076409" w:rsidR="00F71018" w:rsidRDefault="00F71018"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Clinical Lab staff will </w:t>
      </w:r>
      <w:r w:rsidR="00040EF4">
        <w:rPr>
          <w:rFonts w:ascii="Calibri" w:eastAsia="Calibri" w:hAnsi="Calibri" w:cs="Calibri"/>
          <w:bCs/>
          <w:color w:val="000000"/>
          <w:szCs w:val="22"/>
        </w:rPr>
        <w:t xml:space="preserve">label and </w:t>
      </w:r>
      <w:r>
        <w:rPr>
          <w:rFonts w:ascii="Calibri" w:eastAsia="Calibri" w:hAnsi="Calibri" w:cs="Calibri"/>
          <w:bCs/>
          <w:color w:val="000000"/>
          <w:szCs w:val="22"/>
        </w:rPr>
        <w:t xml:space="preserve">seal the </w:t>
      </w:r>
      <w:r w:rsidR="00F57215" w:rsidRPr="00DC7B1C">
        <w:rPr>
          <w:rFonts w:ascii="Calibri" w:eastAsia="Calibri" w:hAnsi="Calibri" w:cs="Calibri"/>
          <w:bCs/>
          <w:szCs w:val="22"/>
        </w:rPr>
        <w:t>green</w:t>
      </w:r>
      <w:r w:rsidRPr="00DC7B1C">
        <w:rPr>
          <w:rFonts w:ascii="Calibri" w:eastAsia="Calibri" w:hAnsi="Calibri" w:cs="Calibri"/>
          <w:bCs/>
          <w:szCs w:val="22"/>
        </w:rPr>
        <w:t xml:space="preserve"> outer container </w:t>
      </w:r>
      <w:r>
        <w:rPr>
          <w:rFonts w:ascii="Calibri" w:eastAsia="Calibri" w:hAnsi="Calibri" w:cs="Calibri"/>
          <w:bCs/>
          <w:color w:val="000000"/>
          <w:szCs w:val="22"/>
        </w:rPr>
        <w:t>and coordinate delivery.</w:t>
      </w:r>
    </w:p>
    <w:p w14:paraId="1159CDAC" w14:textId="77777777" w:rsidR="00040EF4" w:rsidRPr="00D25536" w:rsidRDefault="00040EF4" w:rsidP="00040EF4">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 xml:space="preserve">The outer packaging must be marked with a </w:t>
      </w:r>
      <w:r w:rsidRPr="00D25536">
        <w:rPr>
          <w:rFonts w:ascii="Calibri" w:eastAsia="Calibri" w:hAnsi="Calibri" w:cs="Calibri"/>
          <w:bCs/>
          <w:color w:val="000000"/>
          <w:szCs w:val="22"/>
        </w:rPr>
        <w:t>UN3373 Biological Substance Category B Label.</w:t>
      </w:r>
    </w:p>
    <w:p w14:paraId="3D33F236" w14:textId="77777777" w:rsidR="00040EF4" w:rsidRPr="002D659D" w:rsidRDefault="00040EF4" w:rsidP="00040EF4">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Label the outer packaging with the name</w:t>
      </w:r>
      <w:r>
        <w:rPr>
          <w:rFonts w:ascii="Calibri" w:eastAsia="Calibri" w:hAnsi="Calibri" w:cs="Arial"/>
          <w:bCs/>
          <w:color w:val="000000"/>
          <w:szCs w:val="22"/>
        </w:rPr>
        <w:t>, the phone number</w:t>
      </w:r>
      <w:r w:rsidRPr="00D25536">
        <w:rPr>
          <w:rFonts w:ascii="Calibri" w:eastAsia="Calibri" w:hAnsi="Calibri" w:cs="Arial"/>
          <w:bCs/>
          <w:color w:val="000000"/>
          <w:szCs w:val="22"/>
        </w:rPr>
        <w:t xml:space="preserve"> and address of the shipper and the consignee.</w:t>
      </w:r>
    </w:p>
    <w:p w14:paraId="48AF8A4F" w14:textId="1F878277" w:rsidR="00040EF4" w:rsidRDefault="00F57215"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courier will transport the green outer container to the recipient lab.</w:t>
      </w:r>
    </w:p>
    <w:p w14:paraId="27BA53EA" w14:textId="58A00367" w:rsidR="007F2C93" w:rsidRDefault="007F2C93"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lastRenderedPageBreak/>
        <w:t xml:space="preserve">Receiving Clinical Lab staff will retrieve the CRC specimen secondary container from the </w:t>
      </w:r>
      <w:r w:rsidR="00DC7B1C">
        <w:rPr>
          <w:rFonts w:ascii="Calibri" w:eastAsia="Calibri" w:hAnsi="Calibri" w:cs="Calibri"/>
          <w:bCs/>
          <w:color w:val="000000"/>
          <w:szCs w:val="22"/>
        </w:rPr>
        <w:t xml:space="preserve">green </w:t>
      </w:r>
      <w:r>
        <w:rPr>
          <w:rFonts w:ascii="Calibri" w:eastAsia="Calibri" w:hAnsi="Calibri" w:cs="Calibri"/>
          <w:bCs/>
          <w:color w:val="000000"/>
          <w:szCs w:val="22"/>
        </w:rPr>
        <w:t xml:space="preserve">container and place them in a designated </w:t>
      </w:r>
      <w:r w:rsidR="00F57215">
        <w:rPr>
          <w:rFonts w:ascii="Calibri" w:eastAsia="Calibri" w:hAnsi="Calibri" w:cs="Calibri"/>
          <w:bCs/>
          <w:color w:val="000000"/>
          <w:szCs w:val="22"/>
        </w:rPr>
        <w:t>yellow CRC</w:t>
      </w:r>
      <w:r>
        <w:rPr>
          <w:rFonts w:ascii="Calibri" w:eastAsia="Calibri" w:hAnsi="Calibri" w:cs="Calibri"/>
          <w:bCs/>
          <w:color w:val="000000"/>
          <w:szCs w:val="22"/>
        </w:rPr>
        <w:t xml:space="preserve"> pick</w:t>
      </w:r>
      <w:r w:rsidR="00B676A2">
        <w:rPr>
          <w:rFonts w:ascii="Calibri" w:eastAsia="Calibri" w:hAnsi="Calibri" w:cs="Calibri"/>
          <w:bCs/>
          <w:color w:val="000000"/>
          <w:szCs w:val="22"/>
        </w:rPr>
        <w:t>-</w:t>
      </w:r>
      <w:r>
        <w:rPr>
          <w:rFonts w:ascii="Calibri" w:eastAsia="Calibri" w:hAnsi="Calibri" w:cs="Calibri"/>
          <w:bCs/>
          <w:color w:val="000000"/>
          <w:szCs w:val="22"/>
        </w:rPr>
        <w:t xml:space="preserve">up </w:t>
      </w:r>
      <w:r w:rsidR="00DC7B1C">
        <w:rPr>
          <w:rFonts w:ascii="Calibri" w:eastAsia="Calibri" w:hAnsi="Calibri" w:cs="Calibri"/>
          <w:bCs/>
          <w:color w:val="000000"/>
          <w:szCs w:val="22"/>
        </w:rPr>
        <w:t xml:space="preserve">bin </w:t>
      </w:r>
      <w:r>
        <w:rPr>
          <w:rFonts w:ascii="Calibri" w:eastAsia="Calibri" w:hAnsi="Calibri" w:cs="Calibri"/>
          <w:bCs/>
          <w:color w:val="000000"/>
          <w:szCs w:val="22"/>
        </w:rPr>
        <w:t xml:space="preserve">at the receiving location. </w:t>
      </w:r>
    </w:p>
    <w:p w14:paraId="4BA1635C" w14:textId="42E0736D" w:rsidR="007F2C93" w:rsidRPr="00D25536" w:rsidRDefault="007F2C93"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If the CRC Lab personnel do not retrieve the specimens from the delivery location, the clinical laboratory personnel will call the contact number listed on the secondary package to remind the research staff they have a package in their pick</w:t>
      </w:r>
      <w:r w:rsidR="00B676A2">
        <w:rPr>
          <w:rFonts w:ascii="Calibri" w:eastAsia="Calibri" w:hAnsi="Calibri" w:cs="Calibri"/>
          <w:bCs/>
          <w:color w:val="000000"/>
          <w:szCs w:val="22"/>
        </w:rPr>
        <w:t>-</w:t>
      </w:r>
      <w:r>
        <w:rPr>
          <w:rFonts w:ascii="Calibri" w:eastAsia="Calibri" w:hAnsi="Calibri" w:cs="Calibri"/>
          <w:bCs/>
          <w:color w:val="000000"/>
          <w:szCs w:val="22"/>
        </w:rPr>
        <w:t>up box.</w:t>
      </w:r>
    </w:p>
    <w:p w14:paraId="27D82DDD" w14:textId="77777777" w:rsidR="00604977" w:rsidRPr="00D25536" w:rsidRDefault="00604977" w:rsidP="00604977">
      <w:pPr>
        <w:autoSpaceDE w:val="0"/>
        <w:autoSpaceDN w:val="0"/>
        <w:adjustRightInd w:val="0"/>
        <w:rPr>
          <w:rFonts w:ascii="Calibri" w:eastAsia="Calibri" w:hAnsi="Calibri" w:cs="Arial"/>
          <w:b/>
          <w:bCs/>
          <w:color w:val="000000"/>
          <w:szCs w:val="22"/>
        </w:rPr>
      </w:pPr>
    </w:p>
    <w:p w14:paraId="2B645147" w14:textId="77777777" w:rsidR="00604977" w:rsidRPr="00FF4E9B" w:rsidRDefault="00604977" w:rsidP="00604977">
      <w:pPr>
        <w:numPr>
          <w:ilvl w:val="0"/>
          <w:numId w:val="1"/>
        </w:numPr>
        <w:autoSpaceDE w:val="0"/>
        <w:autoSpaceDN w:val="0"/>
        <w:adjustRightInd w:val="0"/>
        <w:rPr>
          <w:rFonts w:ascii="Calibri" w:eastAsia="Calibri" w:hAnsi="Calibri" w:cs="Arial"/>
          <w:b/>
          <w:bCs/>
          <w:color w:val="000000"/>
          <w:szCs w:val="22"/>
        </w:rPr>
      </w:pPr>
      <w:r>
        <w:rPr>
          <w:rFonts w:ascii="Calibri" w:eastAsia="Calibri" w:hAnsi="Calibri" w:cs="Arial"/>
          <w:b/>
          <w:bCs/>
          <w:color w:val="000000"/>
          <w:szCs w:val="22"/>
        </w:rPr>
        <w:t>Applicable References, Regulations and Guidelines</w:t>
      </w:r>
    </w:p>
    <w:p w14:paraId="428ECA0A" w14:textId="77777777" w:rsidR="00604977" w:rsidRPr="00D25536" w:rsidRDefault="00604977" w:rsidP="00604977">
      <w:pPr>
        <w:pStyle w:val="ListParagraph"/>
        <w:numPr>
          <w:ilvl w:val="1"/>
          <w:numId w:val="1"/>
        </w:numPr>
        <w:spacing w:line="276" w:lineRule="auto"/>
        <w:rPr>
          <w:rFonts w:cs="Calibri"/>
        </w:rPr>
      </w:pPr>
      <w:r w:rsidRPr="00D25536">
        <w:rPr>
          <w:rFonts w:cs="Calibri"/>
        </w:rPr>
        <w:t xml:space="preserve">Hazardous Materials Transportation - Code of </w:t>
      </w:r>
      <w:r>
        <w:rPr>
          <w:rFonts w:cs="Calibri"/>
        </w:rPr>
        <w:t>Federal Regulations, Title 49, Parts 171-177</w:t>
      </w:r>
    </w:p>
    <w:p w14:paraId="7AE9B2C7" w14:textId="77777777" w:rsidR="00604977" w:rsidRPr="00D25536" w:rsidRDefault="00604977" w:rsidP="00604977">
      <w:pPr>
        <w:pStyle w:val="ListParagraph"/>
        <w:numPr>
          <w:ilvl w:val="1"/>
          <w:numId w:val="1"/>
        </w:numPr>
        <w:spacing w:line="276" w:lineRule="auto"/>
        <w:rPr>
          <w:rFonts w:cs="Calibri"/>
        </w:rPr>
      </w:pPr>
      <w:r w:rsidRPr="00D25536">
        <w:rPr>
          <w:rFonts w:cs="Calibri"/>
        </w:rPr>
        <w:t>Good Laboratory Practices – Code of Federal Regulations, Title 21, Part 58</w:t>
      </w:r>
    </w:p>
    <w:p w14:paraId="727C71A1" w14:textId="77777777" w:rsidR="00604977" w:rsidRPr="00D25536" w:rsidRDefault="00604977" w:rsidP="00604977">
      <w:pPr>
        <w:pStyle w:val="ListParagraph"/>
        <w:numPr>
          <w:ilvl w:val="1"/>
          <w:numId w:val="1"/>
        </w:numPr>
        <w:spacing w:line="276" w:lineRule="auto"/>
        <w:rPr>
          <w:rFonts w:cs="Calibri"/>
        </w:rPr>
      </w:pPr>
      <w:r w:rsidRPr="00D25536">
        <w:rPr>
          <w:rFonts w:cs="Calibri"/>
          <w:color w:val="000000"/>
        </w:rPr>
        <w:t xml:space="preserve">Best Practices for Repositories I. Collection, Storage and Retrieval of Human Biological Materials for Research.  International Society for Biological and Environmental Repositories (ISBER), </w:t>
      </w:r>
      <w:hyperlink r:id="rId6" w:history="1">
        <w:r w:rsidRPr="00D25536">
          <w:rPr>
            <w:rStyle w:val="Hyperlink"/>
            <w:rFonts w:cs="Calibri"/>
          </w:rPr>
          <w:t>http://www.isber.org</w:t>
        </w:r>
      </w:hyperlink>
    </w:p>
    <w:p w14:paraId="2B2018B6" w14:textId="77777777" w:rsidR="00604977" w:rsidRPr="00D25536" w:rsidRDefault="00604977" w:rsidP="00604977">
      <w:pPr>
        <w:pStyle w:val="ListParagraph"/>
        <w:numPr>
          <w:ilvl w:val="1"/>
          <w:numId w:val="1"/>
        </w:numPr>
        <w:spacing w:line="276" w:lineRule="auto"/>
        <w:rPr>
          <w:rFonts w:cs="Calibri"/>
        </w:rPr>
      </w:pPr>
      <w:r w:rsidRPr="00D25536">
        <w:rPr>
          <w:rFonts w:cs="Calibri"/>
        </w:rPr>
        <w:t>UCSF Biosafety Manual</w:t>
      </w:r>
      <w:r w:rsidRPr="00D25536">
        <w:rPr>
          <w:rFonts w:cs="Calibri"/>
          <w:color w:val="0000FF"/>
        </w:rPr>
        <w:t xml:space="preserve">, </w:t>
      </w:r>
      <w:r w:rsidRPr="00A15E88">
        <w:rPr>
          <w:rFonts w:cs="Calibri"/>
          <w:color w:val="0000FF"/>
        </w:rPr>
        <w:t>http://www.ehs.ucsf.edu/biosafety-manual</w:t>
      </w:r>
    </w:p>
    <w:p w14:paraId="62E22854" w14:textId="403A624C" w:rsidR="00604977" w:rsidRPr="00D25536" w:rsidRDefault="00604977" w:rsidP="00604977">
      <w:pPr>
        <w:pStyle w:val="ListParagraph"/>
        <w:numPr>
          <w:ilvl w:val="1"/>
          <w:numId w:val="1"/>
        </w:numPr>
        <w:spacing w:line="276" w:lineRule="auto"/>
      </w:pPr>
      <w:r w:rsidRPr="00D25536">
        <w:t xml:space="preserve">Pointers on Shipping Clinical Samples, Biological Substance Category B (UN3373) and Environmental Test Samples. </w:t>
      </w:r>
      <w:proofErr w:type="spellStart"/>
      <w:r w:rsidRPr="00D25536">
        <w:t>Fedex</w:t>
      </w:r>
      <w:proofErr w:type="spellEnd"/>
      <w:r w:rsidRPr="00D25536">
        <w:t xml:space="preserve">, </w:t>
      </w:r>
      <w:hyperlink r:id="rId7" w:history="1">
        <w:r w:rsidR="00424044" w:rsidRPr="00952B1A">
          <w:rPr>
            <w:rStyle w:val="Hyperlink"/>
          </w:rPr>
          <w:t>http://images.fedex.com/downloads/shared/packagingtips/pointers.pdf</w:t>
        </w:r>
      </w:hyperlink>
    </w:p>
    <w:p w14:paraId="1932192D" w14:textId="77777777" w:rsidR="00604977" w:rsidRPr="00D25536" w:rsidRDefault="00604977" w:rsidP="00604977">
      <w:pPr>
        <w:pStyle w:val="ListParagraph"/>
        <w:numPr>
          <w:ilvl w:val="1"/>
          <w:numId w:val="1"/>
        </w:numPr>
        <w:spacing w:line="276" w:lineRule="auto"/>
      </w:pPr>
      <w:r w:rsidRPr="00D25536">
        <w:t xml:space="preserve">Packaging Guidelines for Clinical Samples.  </w:t>
      </w:r>
      <w:proofErr w:type="spellStart"/>
      <w:r w:rsidRPr="00D25536">
        <w:t>Fedex</w:t>
      </w:r>
      <w:proofErr w:type="spellEnd"/>
      <w:r w:rsidRPr="00D25536">
        <w:t xml:space="preserve">, </w:t>
      </w:r>
      <w:hyperlink r:id="rId8" w:history="1">
        <w:r w:rsidRPr="00D25536">
          <w:rPr>
            <w:rStyle w:val="Hyperlink"/>
          </w:rPr>
          <w:t>http://images.fedex.com/us/packaging/guides/Clinical_fxcom.pdf</w:t>
        </w:r>
      </w:hyperlink>
    </w:p>
    <w:p w14:paraId="31FC9416" w14:textId="77777777" w:rsidR="00604977" w:rsidRDefault="00604977"/>
    <w:p w14:paraId="1AD9CB8A" w14:textId="77777777" w:rsidR="00424044" w:rsidRDefault="00424044"/>
    <w:p w14:paraId="30621D03" w14:textId="77777777" w:rsidR="00424044" w:rsidRDefault="00424044"/>
    <w:p w14:paraId="3EFFD88D" w14:textId="77777777" w:rsidR="00424044" w:rsidRDefault="00424044"/>
    <w:sectPr w:rsidR="0042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1DBE"/>
    <w:multiLevelType w:val="multilevel"/>
    <w:tmpl w:val="9280C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4DF6B3A"/>
    <w:multiLevelType w:val="hybridMultilevel"/>
    <w:tmpl w:val="C0FC2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77"/>
    <w:rsid w:val="00040EF4"/>
    <w:rsid w:val="000C4FD1"/>
    <w:rsid w:val="00237B33"/>
    <w:rsid w:val="002D659D"/>
    <w:rsid w:val="003D04D3"/>
    <w:rsid w:val="003F2AA9"/>
    <w:rsid w:val="00417365"/>
    <w:rsid w:val="00424044"/>
    <w:rsid w:val="004819BA"/>
    <w:rsid w:val="00487245"/>
    <w:rsid w:val="0052297D"/>
    <w:rsid w:val="005A1687"/>
    <w:rsid w:val="00604977"/>
    <w:rsid w:val="007F2C93"/>
    <w:rsid w:val="00817A88"/>
    <w:rsid w:val="008917C7"/>
    <w:rsid w:val="008D1742"/>
    <w:rsid w:val="009A707B"/>
    <w:rsid w:val="009B4DC6"/>
    <w:rsid w:val="009C16CC"/>
    <w:rsid w:val="009F0CCE"/>
    <w:rsid w:val="00A02E8E"/>
    <w:rsid w:val="00B676A2"/>
    <w:rsid w:val="00BB7E96"/>
    <w:rsid w:val="00C704C7"/>
    <w:rsid w:val="00C92099"/>
    <w:rsid w:val="00DC7B1C"/>
    <w:rsid w:val="00E24C21"/>
    <w:rsid w:val="00EC60E2"/>
    <w:rsid w:val="00F562CB"/>
    <w:rsid w:val="00F57215"/>
    <w:rsid w:val="00F71018"/>
    <w:rsid w:val="00FD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77"/>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977"/>
    <w:rPr>
      <w:color w:val="0000FF"/>
      <w:u w:val="single"/>
    </w:rPr>
  </w:style>
  <w:style w:type="paragraph" w:styleId="ListParagraph">
    <w:name w:val="List Paragraph"/>
    <w:basedOn w:val="Normal"/>
    <w:uiPriority w:val="34"/>
    <w:qFormat/>
    <w:rsid w:val="00604977"/>
    <w:pPr>
      <w:spacing w:after="200"/>
      <w:ind w:left="720"/>
      <w:contextualSpacing/>
    </w:pPr>
    <w:rPr>
      <w:rFonts w:ascii="Calibri" w:eastAsia="Calibri" w:hAnsi="Calibri"/>
      <w:szCs w:val="22"/>
    </w:rPr>
  </w:style>
  <w:style w:type="paragraph" w:customStyle="1" w:styleId="Default">
    <w:name w:val="Default"/>
    <w:rsid w:val="004819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4819BA"/>
    <w:rPr>
      <w:color w:val="auto"/>
    </w:rPr>
  </w:style>
  <w:style w:type="paragraph" w:styleId="BalloonText">
    <w:name w:val="Balloon Text"/>
    <w:basedOn w:val="Normal"/>
    <w:link w:val="BalloonTextChar"/>
    <w:uiPriority w:val="99"/>
    <w:semiHidden/>
    <w:unhideWhenUsed/>
    <w:rsid w:val="004819BA"/>
    <w:rPr>
      <w:rFonts w:ascii="Tahoma" w:hAnsi="Tahoma" w:cs="Tahoma"/>
      <w:sz w:val="16"/>
      <w:szCs w:val="16"/>
    </w:rPr>
  </w:style>
  <w:style w:type="character" w:customStyle="1" w:styleId="BalloonTextChar">
    <w:name w:val="Balloon Text Char"/>
    <w:basedOn w:val="DefaultParagraphFont"/>
    <w:link w:val="BalloonText"/>
    <w:uiPriority w:val="99"/>
    <w:semiHidden/>
    <w:rsid w:val="004819B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77"/>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977"/>
    <w:rPr>
      <w:color w:val="0000FF"/>
      <w:u w:val="single"/>
    </w:rPr>
  </w:style>
  <w:style w:type="paragraph" w:styleId="ListParagraph">
    <w:name w:val="List Paragraph"/>
    <w:basedOn w:val="Normal"/>
    <w:uiPriority w:val="34"/>
    <w:qFormat/>
    <w:rsid w:val="00604977"/>
    <w:pPr>
      <w:spacing w:after="200"/>
      <w:ind w:left="720"/>
      <w:contextualSpacing/>
    </w:pPr>
    <w:rPr>
      <w:rFonts w:ascii="Calibri" w:eastAsia="Calibri" w:hAnsi="Calibri"/>
      <w:szCs w:val="22"/>
    </w:rPr>
  </w:style>
  <w:style w:type="paragraph" w:customStyle="1" w:styleId="Default">
    <w:name w:val="Default"/>
    <w:rsid w:val="004819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4819BA"/>
    <w:rPr>
      <w:color w:val="auto"/>
    </w:rPr>
  </w:style>
  <w:style w:type="paragraph" w:styleId="BalloonText">
    <w:name w:val="Balloon Text"/>
    <w:basedOn w:val="Normal"/>
    <w:link w:val="BalloonTextChar"/>
    <w:uiPriority w:val="99"/>
    <w:semiHidden/>
    <w:unhideWhenUsed/>
    <w:rsid w:val="004819BA"/>
    <w:rPr>
      <w:rFonts w:ascii="Tahoma" w:hAnsi="Tahoma" w:cs="Tahoma"/>
      <w:sz w:val="16"/>
      <w:szCs w:val="16"/>
    </w:rPr>
  </w:style>
  <w:style w:type="character" w:customStyle="1" w:styleId="BalloonTextChar">
    <w:name w:val="Balloon Text Char"/>
    <w:basedOn w:val="DefaultParagraphFont"/>
    <w:link w:val="BalloonText"/>
    <w:uiPriority w:val="99"/>
    <w:semiHidden/>
    <w:rsid w:val="004819B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fedex.com/us/packaging/guides/Clinical_fxcom.pdf" TargetMode="External"/><Relationship Id="rId3" Type="http://schemas.microsoft.com/office/2007/relationships/stylesWithEffects" Target="stylesWithEffects.xml"/><Relationship Id="rId7" Type="http://schemas.openxmlformats.org/officeDocument/2006/relationships/hyperlink" Target="http://images.fedex.com/downloads/shared/packagingtips/poin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be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Wendy</dc:creator>
  <cp:lastModifiedBy>Staub, Wendy</cp:lastModifiedBy>
  <cp:revision>19</cp:revision>
  <cp:lastPrinted>2016-08-05T16:12:00Z</cp:lastPrinted>
  <dcterms:created xsi:type="dcterms:W3CDTF">2016-07-29T22:07:00Z</dcterms:created>
  <dcterms:modified xsi:type="dcterms:W3CDTF">2016-08-21T22:02:00Z</dcterms:modified>
</cp:coreProperties>
</file>